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8087" w14:textId="7E081AED" w:rsidR="007F574D" w:rsidRPr="007F574D" w:rsidRDefault="007F574D" w:rsidP="007F5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74D">
        <w:rPr>
          <w:rFonts w:ascii="Times New Roman" w:hAnsi="Times New Roman" w:cs="Times New Roman"/>
          <w:b/>
          <w:bCs/>
          <w:sz w:val="24"/>
          <w:szCs w:val="24"/>
        </w:rPr>
        <w:t>TÜRKİYE’NİN SERBEST TİCARET ANLAŞMALARI HAKKINDA BİLGİ NOTU</w:t>
      </w:r>
    </w:p>
    <w:p w14:paraId="0872ABAA" w14:textId="7CEE7258" w:rsidR="007F574D" w:rsidRPr="007F574D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F574D">
        <w:rPr>
          <w:rFonts w:ascii="Times New Roman" w:hAnsi="Times New Roman" w:cs="Times New Roman"/>
          <w:sz w:val="24"/>
          <w:szCs w:val="24"/>
        </w:rPr>
        <w:t>Türkiye, gerek uluslararası ticaretteki Serbest Ticaret Anlaşmaları (STA) ağları oluşturma eğilimine paralel olarak gerekse Gümrük Birliği çerçevesinde AB’nin STA akdettiği ülkelerle karşılıklı yarar esasına dayalı benzer anlaşmalar akdetmektedir.</w:t>
      </w:r>
    </w:p>
    <w:p w14:paraId="32304C89" w14:textId="2206F003" w:rsidR="007F574D" w:rsidRPr="007F574D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F574D">
        <w:rPr>
          <w:rFonts w:ascii="Times New Roman" w:hAnsi="Times New Roman" w:cs="Times New Roman"/>
          <w:sz w:val="24"/>
          <w:szCs w:val="24"/>
        </w:rPr>
        <w:t>TA’lar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, komşu ve çevre ülkelerle dış ticaretimizin geliştirilmesi; ihracatçılarımızın dış pazarlarda, başta AB ülkelerinin müteşebbisleri olmak üzere rakipleri ile eşit şartlarda rekabet edebilmesinin temini; karşılıklı yatırımların ve müşterek teşebbüslerle ülkemizin uluslararası rekabet gücünün artırılması bakımından önem taşımaktadır. Bu kapsamda, ülkemizin AB tarafından imzalanmış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STA’ların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içeriğini aynen kabul etme yükümlülüğü bulunmamakta olup, gerçekleştirilen müzakerelerde sanayi ve ticaret politikası önceliklerimiz ile ülkemiz hassasiyetleri göz önüne alınmaktadır.</w:t>
      </w:r>
    </w:p>
    <w:p w14:paraId="6B5617E6" w14:textId="61ECF0D6" w:rsidR="004C1A59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F574D">
        <w:rPr>
          <w:rFonts w:ascii="Times New Roman" w:hAnsi="Times New Roman" w:cs="Times New Roman"/>
          <w:sz w:val="24"/>
          <w:szCs w:val="24"/>
        </w:rPr>
        <w:t xml:space="preserve">Ülkemizin hali hazırda 23 ülke ile (EFTA, İsrail, Makedonya, Bosna ve Hersek, Filistin, Tunus, Fas, Mısır, Arnavutluk, Gürcistan, Karadağ, Sırbistan, Şili,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Morityus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, Güney Kore, Malezya, Moldova, Faroe Adaları, Singapur, Kosova, Venezuela, Birleşik Krallık ve BAE)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STA’ları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yürürlüktedir. </w:t>
      </w:r>
      <w:r w:rsidR="004C1A59" w:rsidRPr="00E3457E">
        <w:rPr>
          <w:rFonts w:ascii="Times New Roman" w:hAnsi="Times New Roman" w:cs="Times New Roman"/>
          <w:sz w:val="24"/>
          <w:szCs w:val="24"/>
        </w:rPr>
        <w:t xml:space="preserve">Müzakereleri tamamlanan Ukrayna, </w:t>
      </w:r>
      <w:r w:rsidR="004C1A59" w:rsidRPr="00086223">
        <w:rPr>
          <w:rFonts w:ascii="Times New Roman" w:hAnsi="Times New Roman" w:cs="Times New Roman"/>
          <w:sz w:val="24"/>
          <w:szCs w:val="24"/>
        </w:rPr>
        <w:t>Katar</w:t>
      </w:r>
      <w:r w:rsidR="002A3BA7">
        <w:rPr>
          <w:rFonts w:ascii="Times New Roman" w:hAnsi="Times New Roman" w:cs="Times New Roman"/>
          <w:sz w:val="24"/>
          <w:szCs w:val="24"/>
        </w:rPr>
        <w:t xml:space="preserve">, </w:t>
      </w:r>
      <w:r w:rsidR="004C1A59" w:rsidRPr="00086223">
        <w:rPr>
          <w:rFonts w:ascii="Times New Roman" w:hAnsi="Times New Roman" w:cs="Times New Roman"/>
          <w:sz w:val="24"/>
          <w:szCs w:val="24"/>
        </w:rPr>
        <w:t>Sudan</w:t>
      </w:r>
      <w:r w:rsidR="002A3BA7">
        <w:rPr>
          <w:rFonts w:ascii="Times New Roman" w:hAnsi="Times New Roman" w:cs="Times New Roman"/>
          <w:sz w:val="24"/>
          <w:szCs w:val="24"/>
        </w:rPr>
        <w:t xml:space="preserve"> ve Lübnan</w:t>
      </w:r>
      <w:r w:rsidR="004C1A59" w:rsidRPr="00E34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A59" w:rsidRPr="00E3457E">
        <w:rPr>
          <w:rFonts w:ascii="Times New Roman" w:hAnsi="Times New Roman" w:cs="Times New Roman"/>
          <w:sz w:val="24"/>
          <w:szCs w:val="24"/>
        </w:rPr>
        <w:t>STA’larının</w:t>
      </w:r>
      <w:proofErr w:type="spellEnd"/>
      <w:r w:rsidR="004C1A59" w:rsidRPr="00E3457E">
        <w:rPr>
          <w:rFonts w:ascii="Times New Roman" w:hAnsi="Times New Roman" w:cs="Times New Roman"/>
          <w:sz w:val="24"/>
          <w:szCs w:val="24"/>
        </w:rPr>
        <w:t xml:space="preserve"> </w:t>
      </w:r>
      <w:r w:rsidR="00E74A78">
        <w:rPr>
          <w:rFonts w:ascii="Times New Roman" w:hAnsi="Times New Roman" w:cs="Times New Roman"/>
          <w:sz w:val="24"/>
          <w:szCs w:val="24"/>
        </w:rPr>
        <w:t xml:space="preserve">iç </w:t>
      </w:r>
      <w:r w:rsidR="004C1A59" w:rsidRPr="00E3457E">
        <w:rPr>
          <w:rFonts w:ascii="Times New Roman" w:hAnsi="Times New Roman" w:cs="Times New Roman"/>
          <w:sz w:val="24"/>
          <w:szCs w:val="24"/>
        </w:rPr>
        <w:t>onay süreçleri devam etmektedir</w:t>
      </w:r>
      <w:r w:rsidR="004C1A59" w:rsidRPr="00086223">
        <w:rPr>
          <w:rFonts w:ascii="Times New Roman" w:hAnsi="Times New Roman" w:cs="Times New Roman"/>
          <w:sz w:val="24"/>
          <w:szCs w:val="24"/>
        </w:rPr>
        <w:t>.</w:t>
      </w:r>
    </w:p>
    <w:p w14:paraId="2BE65B8C" w14:textId="36801944" w:rsidR="007F574D" w:rsidRPr="007F574D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F574D">
        <w:rPr>
          <w:rFonts w:ascii="Times New Roman" w:hAnsi="Times New Roman" w:cs="Times New Roman"/>
          <w:sz w:val="24"/>
          <w:szCs w:val="24"/>
        </w:rPr>
        <w:t xml:space="preserve">Mevcut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STA’ların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güncellenmesi ve kapsamlarının genişletilmesi çerçevesinde, Sırbistan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STA’nın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güncellenmesine yönelik imzalanan Protokoller 1 Haziran 2019 tarihi itibarıyla, Türkiye-Bosna Hersek revize STA 1 Ağustos 2021, Türkiye-EFTA revize STA 1 Ekim 2021 ve Türkiye-Karadağ yeni Protokoller 1 Temmuz 2022 tarihlerinde yürürlüğe girmiştir. Ayrıca, Gürcistan ve </w:t>
      </w:r>
      <w:r w:rsidRPr="00086223">
        <w:rPr>
          <w:rFonts w:ascii="Times New Roman" w:hAnsi="Times New Roman" w:cs="Times New Roman"/>
          <w:sz w:val="24"/>
          <w:szCs w:val="24"/>
        </w:rPr>
        <w:t>Malezya</w:t>
      </w:r>
      <w:r w:rsidRPr="007F5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STA’larını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genişleten Protokoller imzalanmış olup iç onay süreçlerini müteakip yürürlüğe gireceklerdir. Moldova ile güncelleme müzakerelerine başlanmış, Kuzey Makedonya ile ise kısa zamanda müzakerelere başlanması hedeflenmektedir.</w:t>
      </w:r>
    </w:p>
    <w:p w14:paraId="3F52D996" w14:textId="7E472BF3" w:rsidR="007F574D" w:rsidRPr="007F574D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F574D">
        <w:rPr>
          <w:rFonts w:ascii="Times New Roman" w:hAnsi="Times New Roman" w:cs="Times New Roman"/>
          <w:sz w:val="24"/>
          <w:szCs w:val="24"/>
        </w:rPr>
        <w:t xml:space="preserve">Birleşik Krallık ile mevcut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STA’nın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güncellenmesine yönelik müzakerelerin 2024 yılı itibarıyla başlaması hedeflenmektedir.</w:t>
      </w:r>
    </w:p>
    <w:p w14:paraId="68722429" w14:textId="1F09DA5A" w:rsidR="007F574D" w:rsidRPr="007F574D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F574D">
        <w:rPr>
          <w:rFonts w:ascii="Times New Roman" w:hAnsi="Times New Roman" w:cs="Times New Roman"/>
          <w:sz w:val="24"/>
          <w:szCs w:val="24"/>
        </w:rPr>
        <w:t>Diğer taraftan; 1</w:t>
      </w:r>
      <w:r w:rsidR="00086223">
        <w:rPr>
          <w:rFonts w:ascii="Times New Roman" w:hAnsi="Times New Roman" w:cs="Times New Roman"/>
          <w:sz w:val="24"/>
          <w:szCs w:val="24"/>
        </w:rPr>
        <w:t>0</w:t>
      </w:r>
      <w:r w:rsidRPr="007F574D">
        <w:rPr>
          <w:rFonts w:ascii="Times New Roman" w:hAnsi="Times New Roman" w:cs="Times New Roman"/>
          <w:sz w:val="24"/>
          <w:szCs w:val="24"/>
        </w:rPr>
        <w:t xml:space="preserve"> ülke/ülke grubu ile resmi olarak başlatılmış bulunan STA müzakereleri kapsamında </w:t>
      </w:r>
      <w:r w:rsidR="007226BD">
        <w:rPr>
          <w:rFonts w:ascii="Times New Roman" w:hAnsi="Times New Roman" w:cs="Times New Roman"/>
          <w:sz w:val="24"/>
          <w:szCs w:val="24"/>
        </w:rPr>
        <w:t>2</w:t>
      </w:r>
      <w:r w:rsidRPr="007F574D">
        <w:rPr>
          <w:rFonts w:ascii="Times New Roman" w:hAnsi="Times New Roman" w:cs="Times New Roman"/>
          <w:sz w:val="24"/>
          <w:szCs w:val="24"/>
        </w:rPr>
        <w:t xml:space="preserve"> ülke (Japonya ve Endonezya) ile müzakereler aktif bir şekilde sürdürülmektedir. Müzakere sürecinde olan diğer ülke/ülke grupları (Meksika, Peru, Kolombiya, Ekvator,</w:t>
      </w:r>
      <w:r w:rsidR="00086223">
        <w:rPr>
          <w:rFonts w:ascii="Times New Roman" w:hAnsi="Times New Roman" w:cs="Times New Roman"/>
          <w:sz w:val="24"/>
          <w:szCs w:val="24"/>
        </w:rPr>
        <w:t xml:space="preserve"> </w:t>
      </w:r>
      <w:r w:rsidRPr="007F574D">
        <w:rPr>
          <w:rFonts w:ascii="Times New Roman" w:hAnsi="Times New Roman" w:cs="Times New Roman"/>
          <w:sz w:val="24"/>
          <w:szCs w:val="24"/>
        </w:rPr>
        <w:t xml:space="preserve">MERCOSUR, Kamerun, </w:t>
      </w:r>
      <w:r w:rsidRPr="00086223">
        <w:rPr>
          <w:rFonts w:ascii="Times New Roman" w:hAnsi="Times New Roman" w:cs="Times New Roman"/>
          <w:sz w:val="24"/>
          <w:szCs w:val="24"/>
        </w:rPr>
        <w:t>Körfez İşbirliği Konseyi</w:t>
      </w:r>
      <w:r w:rsidR="007226BD">
        <w:rPr>
          <w:rFonts w:ascii="Times New Roman" w:hAnsi="Times New Roman" w:cs="Times New Roman"/>
          <w:sz w:val="24"/>
          <w:szCs w:val="24"/>
        </w:rPr>
        <w:t>, Tayland</w:t>
      </w:r>
      <w:r w:rsidRPr="007F574D">
        <w:rPr>
          <w:rFonts w:ascii="Times New Roman" w:hAnsi="Times New Roman" w:cs="Times New Roman"/>
          <w:sz w:val="24"/>
          <w:szCs w:val="24"/>
        </w:rPr>
        <w:t xml:space="preserve">) ile söz konusu süreçlerin hızlandırılmasına ilişkin çalışmalar yürütülmektedir.  </w:t>
      </w:r>
    </w:p>
    <w:p w14:paraId="7DE21C79" w14:textId="7EE85E60" w:rsidR="007F574D" w:rsidRPr="007F574D" w:rsidRDefault="007F574D" w:rsidP="007F574D">
      <w:pPr>
        <w:jc w:val="both"/>
        <w:rPr>
          <w:rFonts w:ascii="Times New Roman" w:hAnsi="Times New Roman" w:cs="Times New Roman"/>
          <w:sz w:val="24"/>
          <w:szCs w:val="24"/>
        </w:rPr>
      </w:pPr>
      <w:r w:rsidRPr="007F574D">
        <w:rPr>
          <w:rFonts w:ascii="Times New Roman" w:hAnsi="Times New Roman" w:cs="Times New Roman"/>
          <w:sz w:val="24"/>
          <w:szCs w:val="24"/>
        </w:rPr>
        <w:t xml:space="preserve">İran, Azerbaycan, Pakistan ve Özbekistan ile olmak üzere yürürlükte 4 Tercihli Ticaret Anlaşmamız (TTA) bulunmaktadır. Son olarak, Özbekistan TTA 1 Temmuz 2023 itibarıyla yürürlüğe girmiştir. Azerbaycan </w:t>
      </w:r>
      <w:proofErr w:type="spellStart"/>
      <w:r w:rsidRPr="007F574D">
        <w:rPr>
          <w:rFonts w:ascii="Times New Roman" w:hAnsi="Times New Roman" w:cs="Times New Roman"/>
          <w:sz w:val="24"/>
          <w:szCs w:val="24"/>
        </w:rPr>
        <w:t>TTA’yı</w:t>
      </w:r>
      <w:proofErr w:type="spellEnd"/>
      <w:r w:rsidRPr="007F574D">
        <w:rPr>
          <w:rFonts w:ascii="Times New Roman" w:hAnsi="Times New Roman" w:cs="Times New Roman"/>
          <w:sz w:val="24"/>
          <w:szCs w:val="24"/>
        </w:rPr>
        <w:t xml:space="preserve"> genişleten Ek Protokol’ün iç onay süreci ise devam etmektedir.</w:t>
      </w:r>
    </w:p>
    <w:p w14:paraId="2D4FDBFF" w14:textId="551BAD9A" w:rsidR="007F71F4" w:rsidRPr="007F574D" w:rsidRDefault="007F71F4" w:rsidP="007F57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71F4" w:rsidRPr="007F57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22A" w14:textId="77777777" w:rsidR="00B210BB" w:rsidRDefault="00B210BB" w:rsidP="007F574D">
      <w:pPr>
        <w:spacing w:after="0" w:line="240" w:lineRule="auto"/>
      </w:pPr>
      <w:r>
        <w:separator/>
      </w:r>
    </w:p>
  </w:endnote>
  <w:endnote w:type="continuationSeparator" w:id="0">
    <w:p w14:paraId="2CB23BFD" w14:textId="77777777" w:rsidR="00B210BB" w:rsidRDefault="00B210BB" w:rsidP="007F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D273" w14:textId="77777777" w:rsidR="00B210BB" w:rsidRDefault="00B210BB" w:rsidP="007F574D">
      <w:pPr>
        <w:spacing w:after="0" w:line="240" w:lineRule="auto"/>
      </w:pPr>
      <w:r>
        <w:separator/>
      </w:r>
    </w:p>
  </w:footnote>
  <w:footnote w:type="continuationSeparator" w:id="0">
    <w:p w14:paraId="016119D0" w14:textId="77777777" w:rsidR="00B210BB" w:rsidRDefault="00B210BB" w:rsidP="007F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2FD9" w14:textId="78786B73" w:rsidR="0010521A" w:rsidRPr="0050080D" w:rsidRDefault="0093237C" w:rsidP="0093237C">
    <w:pPr>
      <w:pStyle w:val="stBilgi"/>
      <w:rPr>
        <w:rFonts w:ascii="Times New Roman" w:hAnsi="Times New Roman" w:cs="Times New Roman"/>
        <w:b/>
      </w:rPr>
    </w:pPr>
    <w:r w:rsidRPr="0050080D">
      <w:rPr>
        <w:rFonts w:ascii="Times New Roman" w:hAnsi="Times New Roman" w:cs="Times New Roman"/>
        <w:b/>
      </w:rPr>
      <w:t>T.C. TİCARET BAKANLIĞI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14:paraId="1B8CEF7F" w14:textId="77777777" w:rsidR="0093237C" w:rsidRDefault="0093237C" w:rsidP="0093237C">
    <w:pPr>
      <w:pStyle w:val="stBilgi"/>
      <w:rPr>
        <w:rFonts w:ascii="Times New Roman" w:hAnsi="Times New Roman" w:cs="Times New Roman"/>
        <w:b/>
      </w:rPr>
    </w:pPr>
    <w:r w:rsidRPr="0050080D">
      <w:rPr>
        <w:rFonts w:ascii="Times New Roman" w:hAnsi="Times New Roman" w:cs="Times New Roman"/>
        <w:b/>
      </w:rPr>
      <w:t>Uluslararası Anlaşmalar ve Avrupa Birliği Genel Müdürlüğü</w:t>
    </w:r>
  </w:p>
  <w:p w14:paraId="3200D924" w14:textId="66EAB481" w:rsidR="00057590" w:rsidRPr="00057590" w:rsidRDefault="00057590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4D"/>
    <w:rsid w:val="00057590"/>
    <w:rsid w:val="00086223"/>
    <w:rsid w:val="0010521A"/>
    <w:rsid w:val="00230F6A"/>
    <w:rsid w:val="002A3BA7"/>
    <w:rsid w:val="00323347"/>
    <w:rsid w:val="004C1A59"/>
    <w:rsid w:val="005943AA"/>
    <w:rsid w:val="00720F3D"/>
    <w:rsid w:val="007226BD"/>
    <w:rsid w:val="007F574D"/>
    <w:rsid w:val="007F71F4"/>
    <w:rsid w:val="0093237C"/>
    <w:rsid w:val="00A53BA4"/>
    <w:rsid w:val="00B210BB"/>
    <w:rsid w:val="00B43D51"/>
    <w:rsid w:val="00DB74AA"/>
    <w:rsid w:val="00E04389"/>
    <w:rsid w:val="00E3457E"/>
    <w:rsid w:val="00E74A78"/>
    <w:rsid w:val="00EF0CA6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8E22"/>
  <w15:chartTrackingRefBased/>
  <w15:docId w15:val="{D6CFF7DC-C820-4DFA-80B6-7F429631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7590"/>
  </w:style>
  <w:style w:type="paragraph" w:styleId="AltBilgi">
    <w:name w:val="footer"/>
    <w:basedOn w:val="Normal"/>
    <w:link w:val="AltBilgiChar"/>
    <w:uiPriority w:val="99"/>
    <w:unhideWhenUsed/>
    <w:rsid w:val="0005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7590"/>
  </w:style>
  <w:style w:type="paragraph" w:styleId="BalonMetni">
    <w:name w:val="Balloon Text"/>
    <w:basedOn w:val="Normal"/>
    <w:link w:val="BalonMetniChar"/>
    <w:uiPriority w:val="99"/>
    <w:semiHidden/>
    <w:unhideWhenUsed/>
    <w:rsid w:val="00E0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35CF-29DC-458D-8E77-E36769D2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Yalçındağ Dursun</dc:creator>
  <cp:keywords/>
  <dc:description/>
  <cp:lastModifiedBy>Muhammed Burak Özgör</cp:lastModifiedBy>
  <cp:revision>10</cp:revision>
  <dcterms:created xsi:type="dcterms:W3CDTF">2023-11-16T08:08:00Z</dcterms:created>
  <dcterms:modified xsi:type="dcterms:W3CDTF">2023-12-28T07:56:00Z</dcterms:modified>
</cp:coreProperties>
</file>